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7E6E6" w:themeFill="background2"/>
        <w:tblCellMar>
          <w:left w:w="288" w:type="dxa"/>
          <w:right w:w="0" w:type="dxa"/>
        </w:tblCellMar>
        <w:tblLook w:val="04A0" w:firstRow="1" w:lastRow="0" w:firstColumn="1" w:lastColumn="0" w:noHBand="0" w:noVBand="1"/>
        <w:tblCaption w:val="Tableau de disposition de sous-titre"/>
      </w:tblPr>
      <w:tblGrid>
        <w:gridCol w:w="9344"/>
      </w:tblGrid>
      <w:tr w:rsidR="00C913F3" w14:paraId="260E2887" w14:textId="77777777" w:rsidTr="00A07BBA">
        <w:tc>
          <w:tcPr>
            <w:tcW w:w="9648" w:type="dxa"/>
            <w:shd w:val="clear" w:color="auto" w:fill="E7E6E6" w:themeFill="background2"/>
            <w:vAlign w:val="center"/>
          </w:tcPr>
          <w:p w14:paraId="5F283F38" w14:textId="77777777" w:rsidR="00C913F3" w:rsidRDefault="00C913F3" w:rsidP="00A07BBA">
            <w:pPr>
              <w:pStyle w:val="Sous-titre"/>
              <w:rPr>
                <w:rFonts w:ascii="Candara" w:eastAsia="STKaiti" w:hAnsi="Candara"/>
                <w:color w:val="657C9C" w:themeColor="text2" w:themeTint="BF"/>
                <w:szCs w:val="24"/>
              </w:rPr>
            </w:pPr>
            <w:r w:rsidRPr="31A84FCC">
              <w:rPr>
                <w:rFonts w:ascii="Candara" w:eastAsia="STKaiti" w:hAnsi="Candara"/>
                <w:color w:val="657C9C" w:themeColor="text2" w:themeTint="BF"/>
                <w:szCs w:val="24"/>
              </w:rPr>
              <w:t>Question écrite de Mme Marie-Agnès POUSSIER WINSBACK</w:t>
            </w:r>
          </w:p>
        </w:tc>
      </w:tr>
    </w:tbl>
    <w:p w14:paraId="08358D13" w14:textId="77777777" w:rsidR="00C913F3" w:rsidRDefault="00C913F3" w:rsidP="00C913F3">
      <w:pPr>
        <w:pStyle w:val="Sansinterligne"/>
      </w:pPr>
    </w:p>
    <w:tbl>
      <w:tblPr>
        <w:tblStyle w:val="Grilledutableau"/>
        <w:tblW w:w="5150" w:type="pct"/>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8" w:type="dxa"/>
          <w:right w:w="0" w:type="dxa"/>
        </w:tblCellMar>
        <w:tblLook w:val="04A0" w:firstRow="1" w:lastRow="0" w:firstColumn="1" w:lastColumn="0" w:noHBand="0" w:noVBand="1"/>
        <w:tblCaption w:val="Tableau de disposition de titre"/>
      </w:tblPr>
      <w:tblGrid>
        <w:gridCol w:w="9344"/>
      </w:tblGrid>
      <w:tr w:rsidR="00C913F3" w14:paraId="6F544D63" w14:textId="77777777" w:rsidTr="00A07BBA">
        <w:tc>
          <w:tcPr>
            <w:tcW w:w="9648" w:type="dxa"/>
            <w:shd w:val="clear" w:color="auto" w:fill="50637D" w:themeFill="text2" w:themeFillTint="E6"/>
            <w:vAlign w:val="center"/>
          </w:tcPr>
          <w:p w14:paraId="0971D711" w14:textId="77777777" w:rsidR="00C913F3" w:rsidRDefault="00C913F3" w:rsidP="00A07BBA">
            <w:pPr>
              <w:pStyle w:val="Titre"/>
              <w:rPr>
                <w:rFonts w:ascii="Calibri" w:eastAsia="Calibri" w:hAnsi="Calibri" w:cs="Calibri"/>
                <w:sz w:val="28"/>
                <w:szCs w:val="28"/>
              </w:rPr>
            </w:pPr>
            <w:bookmarkStart w:id="0" w:name="_Hlk219970359"/>
            <w:r w:rsidRPr="00637334">
              <w:rPr>
                <w:rFonts w:ascii="Calibri" w:eastAsia="Calibri" w:hAnsi="Calibri" w:cs="Calibri"/>
                <w:sz w:val="28"/>
                <w:szCs w:val="28"/>
              </w:rPr>
              <w:t>Réviser les avis défavorables des ABF bloquant des projets d'intérêt général</w:t>
            </w:r>
          </w:p>
        </w:tc>
      </w:tr>
    </w:tbl>
    <w:p w14:paraId="1029C13C" w14:textId="77777777" w:rsidR="00C913F3" w:rsidRDefault="00C913F3" w:rsidP="00C913F3">
      <w:pPr>
        <w:ind w:left="-360" w:right="90"/>
        <w:jc w:val="both"/>
        <w:rPr>
          <w:rFonts w:ascii="Times" w:eastAsia="Times" w:hAnsi="Times" w:cs="Times"/>
          <w:color w:val="000000" w:themeColor="text1"/>
          <w:sz w:val="24"/>
          <w:szCs w:val="24"/>
        </w:rPr>
      </w:pPr>
    </w:p>
    <w:p w14:paraId="2CE6CE6D" w14:textId="1CE730CF" w:rsidR="00C913F3" w:rsidRDefault="00C913F3" w:rsidP="00C913F3">
      <w:pPr>
        <w:spacing w:before="240" w:after="180"/>
        <w:ind w:left="-360" w:right="90"/>
        <w:jc w:val="both"/>
        <w:rPr>
          <w:rFonts w:ascii="Times" w:eastAsia="Times" w:hAnsi="Times" w:cs="Times"/>
          <w:color w:val="auto"/>
          <w:sz w:val="24"/>
          <w:szCs w:val="24"/>
        </w:rPr>
      </w:pPr>
      <w:r w:rsidRPr="31A84FCC">
        <w:rPr>
          <w:rFonts w:ascii="Times" w:eastAsia="Times" w:hAnsi="Times" w:cs="Times"/>
          <w:color w:val="000000" w:themeColor="text1"/>
          <w:sz w:val="24"/>
          <w:szCs w:val="24"/>
        </w:rPr>
        <w:t>Mme</w:t>
      </w:r>
      <w:r w:rsidRPr="31A84FCC">
        <w:rPr>
          <w:rFonts w:ascii="Times New Roman" w:eastAsia="Times New Roman" w:hAnsi="Times New Roman" w:cs="Times New Roman"/>
          <w:color w:val="000000" w:themeColor="text1"/>
          <w:sz w:val="24"/>
          <w:szCs w:val="24"/>
        </w:rPr>
        <w:t> </w:t>
      </w:r>
      <w:r w:rsidRPr="31A84FCC">
        <w:rPr>
          <w:rFonts w:ascii="Times" w:eastAsia="Times" w:hAnsi="Times" w:cs="Times"/>
          <w:color w:val="000000" w:themeColor="text1"/>
          <w:sz w:val="24"/>
          <w:szCs w:val="24"/>
        </w:rPr>
        <w:t>Marie‑Agnès</w:t>
      </w:r>
      <w:r w:rsidRPr="31A84FCC">
        <w:rPr>
          <w:rFonts w:ascii="Times New Roman" w:eastAsia="Times New Roman" w:hAnsi="Times New Roman" w:cs="Times New Roman"/>
          <w:color w:val="000000" w:themeColor="text1"/>
          <w:sz w:val="24"/>
          <w:szCs w:val="24"/>
        </w:rPr>
        <w:t> </w:t>
      </w:r>
      <w:r w:rsidRPr="31A84FCC">
        <w:rPr>
          <w:rFonts w:ascii="Times" w:eastAsia="Times" w:hAnsi="Times" w:cs="Times"/>
          <w:color w:val="000000" w:themeColor="text1"/>
          <w:sz w:val="24"/>
          <w:szCs w:val="24"/>
        </w:rPr>
        <w:t>Poussier‑</w:t>
      </w:r>
      <w:proofErr w:type="spellStart"/>
      <w:r w:rsidRPr="31A84FCC">
        <w:rPr>
          <w:rFonts w:ascii="Times" w:eastAsia="Times" w:hAnsi="Times" w:cs="Times"/>
          <w:color w:val="000000" w:themeColor="text1"/>
          <w:sz w:val="24"/>
          <w:szCs w:val="24"/>
        </w:rPr>
        <w:t>Winsback</w:t>
      </w:r>
      <w:proofErr w:type="spellEnd"/>
      <w:r w:rsidRPr="31A84FCC">
        <w:rPr>
          <w:rFonts w:ascii="Times" w:eastAsia="Times" w:hAnsi="Times" w:cs="Times"/>
          <w:color w:val="000000" w:themeColor="text1"/>
          <w:sz w:val="24"/>
          <w:szCs w:val="24"/>
        </w:rPr>
        <w:t xml:space="preserve"> attire l’attention de Mme</w:t>
      </w:r>
      <w:r w:rsidRPr="31A84FCC">
        <w:rPr>
          <w:rFonts w:ascii="Times New Roman" w:eastAsia="Times New Roman" w:hAnsi="Times New Roman" w:cs="Times New Roman"/>
          <w:color w:val="000000" w:themeColor="text1"/>
          <w:sz w:val="24"/>
          <w:szCs w:val="24"/>
        </w:rPr>
        <w:t> </w:t>
      </w:r>
      <w:r w:rsidRPr="31A84FCC">
        <w:rPr>
          <w:rFonts w:ascii="Times" w:eastAsia="Times" w:hAnsi="Times" w:cs="Times"/>
          <w:color w:val="000000" w:themeColor="text1"/>
          <w:sz w:val="24"/>
          <w:szCs w:val="24"/>
        </w:rPr>
        <w:t>la</w:t>
      </w:r>
      <w:r w:rsidRPr="31A84FCC">
        <w:rPr>
          <w:rFonts w:ascii="Times New Roman" w:eastAsia="Times New Roman" w:hAnsi="Times New Roman" w:cs="Times New Roman"/>
          <w:color w:val="000000" w:themeColor="text1"/>
          <w:sz w:val="24"/>
          <w:szCs w:val="24"/>
        </w:rPr>
        <w:t> </w:t>
      </w:r>
      <w:r w:rsidRPr="31A84FCC">
        <w:rPr>
          <w:rFonts w:ascii="Times" w:eastAsia="Times" w:hAnsi="Times" w:cs="Times"/>
          <w:color w:val="000000" w:themeColor="text1"/>
          <w:sz w:val="24"/>
          <w:szCs w:val="24"/>
        </w:rPr>
        <w:t>ministre de la</w:t>
      </w:r>
      <w:r w:rsidRPr="31A84FCC">
        <w:rPr>
          <w:rFonts w:ascii="Times New Roman" w:eastAsia="Times New Roman" w:hAnsi="Times New Roman" w:cs="Times New Roman"/>
          <w:color w:val="000000" w:themeColor="text1"/>
          <w:sz w:val="24"/>
          <w:szCs w:val="24"/>
        </w:rPr>
        <w:t> </w:t>
      </w:r>
      <w:r w:rsidRPr="31A84FCC">
        <w:rPr>
          <w:rFonts w:ascii="Times" w:eastAsia="Times" w:hAnsi="Times" w:cs="Times"/>
          <w:color w:val="000000" w:themeColor="text1"/>
          <w:sz w:val="24"/>
          <w:szCs w:val="24"/>
        </w:rPr>
        <w:t xml:space="preserve">Culture sur les difficultés rencontrées par de nombreuses collectivités territoriales pour concrétiser leurs projets d’aménagement, en raison d’avis défavorables rendus par les Architectes des Bâtiments de France (ABF). Elle cite notamment le cas </w:t>
      </w:r>
      <w:r>
        <w:rPr>
          <w:rFonts w:ascii="Times" w:eastAsia="Times" w:hAnsi="Times" w:cs="Times"/>
          <w:color w:val="000000" w:themeColor="text1"/>
          <w:sz w:val="24"/>
          <w:szCs w:val="24"/>
        </w:rPr>
        <w:t xml:space="preserve">de l’aménagement </w:t>
      </w:r>
      <w:r w:rsidRPr="31A84FCC">
        <w:rPr>
          <w:rFonts w:ascii="Times" w:eastAsia="Times" w:hAnsi="Times" w:cs="Times"/>
          <w:color w:val="000000" w:themeColor="text1"/>
          <w:sz w:val="24"/>
          <w:szCs w:val="24"/>
        </w:rPr>
        <w:t xml:space="preserve">d’un </w:t>
      </w:r>
      <w:r>
        <w:rPr>
          <w:rFonts w:ascii="Times" w:eastAsia="Times" w:hAnsi="Times" w:cs="Times"/>
          <w:color w:val="000000" w:themeColor="text1"/>
          <w:sz w:val="24"/>
          <w:szCs w:val="24"/>
        </w:rPr>
        <w:t>espace</w:t>
      </w:r>
      <w:r w:rsidRPr="31A84FCC">
        <w:rPr>
          <w:rFonts w:ascii="Times" w:eastAsia="Times" w:hAnsi="Times" w:cs="Times"/>
          <w:color w:val="000000" w:themeColor="text1"/>
          <w:sz w:val="24"/>
          <w:szCs w:val="24"/>
        </w:rPr>
        <w:t xml:space="preserve"> de </w:t>
      </w:r>
      <w:r>
        <w:rPr>
          <w:rFonts w:ascii="Times" w:eastAsia="Times" w:hAnsi="Times" w:cs="Times"/>
          <w:color w:val="000000" w:themeColor="text1"/>
          <w:sz w:val="24"/>
          <w:szCs w:val="24"/>
        </w:rPr>
        <w:t xml:space="preserve">services de </w:t>
      </w:r>
      <w:r w:rsidRPr="31A84FCC">
        <w:rPr>
          <w:rFonts w:ascii="Times" w:eastAsia="Times" w:hAnsi="Times" w:cs="Times"/>
          <w:color w:val="000000" w:themeColor="text1"/>
          <w:sz w:val="24"/>
          <w:szCs w:val="24"/>
        </w:rPr>
        <w:t>santé en</w:t>
      </w:r>
      <w:r w:rsidRPr="31A84FCC">
        <w:rPr>
          <w:rFonts w:ascii="Times New Roman" w:eastAsia="Times New Roman" w:hAnsi="Times New Roman" w:cs="Times New Roman"/>
          <w:color w:val="000000" w:themeColor="text1"/>
          <w:sz w:val="24"/>
          <w:szCs w:val="24"/>
        </w:rPr>
        <w:t> </w:t>
      </w:r>
      <w:r w:rsidRPr="31A84FCC">
        <w:rPr>
          <w:rFonts w:ascii="Times" w:eastAsia="Times" w:hAnsi="Times" w:cs="Times"/>
          <w:color w:val="000000" w:themeColor="text1"/>
          <w:sz w:val="24"/>
          <w:szCs w:val="24"/>
        </w:rPr>
        <w:t xml:space="preserve">Seine‑Maritime, essentiel pour lutter contre la désertification médicale, dont la réalisation </w:t>
      </w:r>
      <w:r>
        <w:rPr>
          <w:rFonts w:ascii="Times" w:eastAsia="Times" w:hAnsi="Times" w:cs="Times"/>
          <w:color w:val="000000" w:themeColor="text1"/>
          <w:sz w:val="24"/>
          <w:szCs w:val="24"/>
        </w:rPr>
        <w:t>est contrariée par les exigences de l’ABF,</w:t>
      </w:r>
      <w:r w:rsidRPr="31A84FCC">
        <w:rPr>
          <w:rFonts w:ascii="Times" w:eastAsia="Times" w:hAnsi="Times" w:cs="Times"/>
          <w:color w:val="000000" w:themeColor="text1"/>
          <w:sz w:val="24"/>
          <w:szCs w:val="24"/>
        </w:rPr>
        <w:t xml:space="preserve"> malgré le déplacement du site initialement contesté pour des raisons de </w:t>
      </w:r>
      <w:proofErr w:type="spellStart"/>
      <w:r w:rsidRPr="31A84FCC">
        <w:rPr>
          <w:rFonts w:ascii="Times" w:eastAsia="Times" w:hAnsi="Times" w:cs="Times"/>
          <w:color w:val="000000" w:themeColor="text1"/>
          <w:sz w:val="24"/>
          <w:szCs w:val="24"/>
        </w:rPr>
        <w:t>covisibilité</w:t>
      </w:r>
      <w:proofErr w:type="spellEnd"/>
      <w:r>
        <w:rPr>
          <w:rFonts w:ascii="Times" w:eastAsia="Times" w:hAnsi="Times" w:cs="Times"/>
          <w:color w:val="000000" w:themeColor="text1"/>
          <w:sz w:val="24"/>
          <w:szCs w:val="24"/>
        </w:rPr>
        <w:t xml:space="preserve"> avec un monument inscrit à l’inventaire supplémentaire.</w:t>
      </w:r>
      <w:r w:rsidRPr="31A84FCC">
        <w:rPr>
          <w:rFonts w:ascii="Times" w:eastAsia="Times" w:hAnsi="Times" w:cs="Times"/>
          <w:color w:val="000000" w:themeColor="text1"/>
          <w:sz w:val="24"/>
          <w:szCs w:val="24"/>
        </w:rPr>
        <w:t xml:space="preserve"> Cette situation témoigne de blocages persistants liés à l’interprétation variable </w:t>
      </w:r>
      <w:r>
        <w:rPr>
          <w:rFonts w:ascii="Times" w:eastAsia="Times" w:hAnsi="Times" w:cs="Times"/>
          <w:color w:val="000000" w:themeColor="text1"/>
          <w:sz w:val="24"/>
          <w:szCs w:val="24"/>
        </w:rPr>
        <w:t xml:space="preserve">selon les fonctionnaires en poste qui se succèdent sur un même site, </w:t>
      </w:r>
      <w:r w:rsidRPr="31A84FCC">
        <w:rPr>
          <w:rFonts w:ascii="Times" w:eastAsia="Times" w:hAnsi="Times" w:cs="Times"/>
          <w:color w:val="000000" w:themeColor="text1"/>
          <w:sz w:val="24"/>
          <w:szCs w:val="24"/>
        </w:rPr>
        <w:t>de cette notion qui, comme le rappelle la circulaire ministérielle du</w:t>
      </w:r>
      <w:r w:rsidRPr="31A84FCC">
        <w:rPr>
          <w:rFonts w:ascii="Times New Roman" w:eastAsia="Times New Roman" w:hAnsi="Times New Roman" w:cs="Times New Roman"/>
          <w:color w:val="000000" w:themeColor="text1"/>
          <w:sz w:val="24"/>
          <w:szCs w:val="24"/>
        </w:rPr>
        <w:t> </w:t>
      </w:r>
      <w:r w:rsidRPr="31A84FCC">
        <w:rPr>
          <w:rFonts w:ascii="Times" w:eastAsia="Times" w:hAnsi="Times" w:cs="Times"/>
          <w:color w:val="000000" w:themeColor="text1"/>
          <w:sz w:val="24"/>
          <w:szCs w:val="24"/>
        </w:rPr>
        <w:t>23</w:t>
      </w:r>
      <w:r w:rsidRPr="31A84FCC">
        <w:rPr>
          <w:rFonts w:ascii="Times New Roman" w:eastAsia="Times New Roman" w:hAnsi="Times New Roman" w:cs="Times New Roman"/>
          <w:color w:val="000000" w:themeColor="text1"/>
          <w:sz w:val="24"/>
          <w:szCs w:val="24"/>
        </w:rPr>
        <w:t> </w:t>
      </w:r>
      <w:r w:rsidRPr="31A84FCC">
        <w:rPr>
          <w:rFonts w:ascii="Times" w:eastAsia="Times" w:hAnsi="Times" w:cs="Times"/>
          <w:color w:val="000000" w:themeColor="text1"/>
          <w:sz w:val="24"/>
          <w:szCs w:val="24"/>
        </w:rPr>
        <w:t>décembre</w:t>
      </w:r>
      <w:r w:rsidRPr="31A84FCC">
        <w:rPr>
          <w:rFonts w:ascii="Times New Roman" w:eastAsia="Times New Roman" w:hAnsi="Times New Roman" w:cs="Times New Roman"/>
          <w:color w:val="000000" w:themeColor="text1"/>
          <w:sz w:val="24"/>
          <w:szCs w:val="24"/>
        </w:rPr>
        <w:t> </w:t>
      </w:r>
      <w:r w:rsidRPr="31A84FCC">
        <w:rPr>
          <w:rFonts w:ascii="Times" w:eastAsia="Times" w:hAnsi="Times" w:cs="Times"/>
          <w:color w:val="000000" w:themeColor="text1"/>
          <w:sz w:val="24"/>
          <w:szCs w:val="24"/>
        </w:rPr>
        <w:t xml:space="preserve">2025 (réf : </w:t>
      </w:r>
      <w:r w:rsidRPr="31A84FCC">
        <w:rPr>
          <w:rFonts w:ascii="Times" w:eastAsia="Times" w:hAnsi="Times" w:cs="Times"/>
          <w:color w:val="auto"/>
          <w:sz w:val="24"/>
          <w:szCs w:val="24"/>
        </w:rPr>
        <w:t>TR/MC/2025/D/44130/IUR</w:t>
      </w:r>
      <w:r w:rsidRPr="31A84FCC">
        <w:rPr>
          <w:rFonts w:ascii="Times" w:eastAsia="Times" w:hAnsi="Times" w:cs="Times"/>
          <w:sz w:val="24"/>
          <w:szCs w:val="24"/>
        </w:rPr>
        <w:t>)</w:t>
      </w:r>
      <w:r w:rsidRPr="31A84FCC">
        <w:rPr>
          <w:rFonts w:ascii="Times" w:eastAsia="Times" w:hAnsi="Times" w:cs="Times"/>
          <w:color w:val="000000" w:themeColor="text1"/>
          <w:sz w:val="24"/>
          <w:szCs w:val="24"/>
        </w:rPr>
        <w:t xml:space="preserve">, est sujette à interprétation et demeure à l’origine de nombreux contentieux. De plus, </w:t>
      </w:r>
      <w:r>
        <w:rPr>
          <w:rFonts w:ascii="Times" w:eastAsia="Times" w:hAnsi="Times" w:cs="Times"/>
          <w:color w:val="000000" w:themeColor="text1"/>
          <w:sz w:val="24"/>
          <w:szCs w:val="24"/>
        </w:rPr>
        <w:t xml:space="preserve">même si </w:t>
      </w:r>
      <w:r w:rsidRPr="31A84FCC">
        <w:rPr>
          <w:rFonts w:ascii="Times" w:eastAsia="Times" w:hAnsi="Times" w:cs="Times"/>
          <w:color w:val="000000" w:themeColor="text1"/>
          <w:sz w:val="24"/>
          <w:szCs w:val="24"/>
        </w:rPr>
        <w:t xml:space="preserve">ces communes sont souvent engagées dans une démarche de </w:t>
      </w:r>
      <w:proofErr w:type="spellStart"/>
      <w:r w:rsidRPr="31A84FCC">
        <w:rPr>
          <w:rFonts w:ascii="Times" w:eastAsia="Times" w:hAnsi="Times" w:cs="Times"/>
          <w:color w:val="000000" w:themeColor="text1"/>
          <w:sz w:val="24"/>
          <w:szCs w:val="24"/>
        </w:rPr>
        <w:t>co</w:t>
      </w:r>
      <w:proofErr w:type="spellEnd"/>
      <w:r w:rsidRPr="31A84FCC">
        <w:rPr>
          <w:rFonts w:ascii="Times" w:eastAsia="Times" w:hAnsi="Times" w:cs="Times"/>
          <w:color w:val="000000" w:themeColor="text1"/>
          <w:sz w:val="24"/>
          <w:szCs w:val="24"/>
        </w:rPr>
        <w:t>‑élaboration avec les services de l’État, ce</w:t>
      </w:r>
      <w:r>
        <w:rPr>
          <w:rFonts w:ascii="Times" w:eastAsia="Times" w:hAnsi="Times" w:cs="Times"/>
          <w:color w:val="000000" w:themeColor="text1"/>
          <w:sz w:val="24"/>
          <w:szCs w:val="24"/>
        </w:rPr>
        <w:t xml:space="preserve">la </w:t>
      </w:r>
      <w:r w:rsidRPr="31A84FCC">
        <w:rPr>
          <w:rFonts w:ascii="Times" w:eastAsia="Times" w:hAnsi="Times" w:cs="Times"/>
          <w:color w:val="000000" w:themeColor="text1"/>
          <w:sz w:val="24"/>
          <w:szCs w:val="24"/>
        </w:rPr>
        <w:t>n’empêche pas</w:t>
      </w:r>
      <w:r>
        <w:rPr>
          <w:rFonts w:ascii="Times" w:eastAsia="Times" w:hAnsi="Times" w:cs="Times"/>
          <w:color w:val="000000" w:themeColor="text1"/>
          <w:sz w:val="24"/>
          <w:szCs w:val="24"/>
        </w:rPr>
        <w:t xml:space="preserve"> en dernier ressort</w:t>
      </w:r>
      <w:r w:rsidRPr="31A84FCC">
        <w:rPr>
          <w:rFonts w:ascii="Times" w:eastAsia="Times" w:hAnsi="Times" w:cs="Times"/>
          <w:color w:val="000000" w:themeColor="text1"/>
          <w:sz w:val="24"/>
          <w:szCs w:val="24"/>
        </w:rPr>
        <w:t xml:space="preserve"> qu’elles </w:t>
      </w:r>
      <w:r>
        <w:rPr>
          <w:rFonts w:ascii="Times" w:eastAsia="Times" w:hAnsi="Times" w:cs="Times"/>
          <w:color w:val="000000" w:themeColor="text1"/>
          <w:sz w:val="24"/>
          <w:szCs w:val="24"/>
        </w:rPr>
        <w:t xml:space="preserve">peuvent </w:t>
      </w:r>
      <w:r w:rsidRPr="31A84FCC">
        <w:rPr>
          <w:rFonts w:ascii="Times" w:eastAsia="Times" w:hAnsi="Times" w:cs="Times"/>
          <w:color w:val="000000" w:themeColor="text1"/>
          <w:sz w:val="24"/>
          <w:szCs w:val="24"/>
        </w:rPr>
        <w:t>se heurte</w:t>
      </w:r>
      <w:r>
        <w:rPr>
          <w:rFonts w:ascii="Times" w:eastAsia="Times" w:hAnsi="Times" w:cs="Times"/>
          <w:color w:val="000000" w:themeColor="text1"/>
          <w:sz w:val="24"/>
          <w:szCs w:val="24"/>
        </w:rPr>
        <w:t>r</w:t>
      </w:r>
      <w:r w:rsidRPr="31A84FCC">
        <w:rPr>
          <w:rFonts w:ascii="Times" w:eastAsia="Times" w:hAnsi="Times" w:cs="Times"/>
          <w:color w:val="000000" w:themeColor="text1"/>
          <w:sz w:val="24"/>
          <w:szCs w:val="24"/>
        </w:rPr>
        <w:t xml:space="preserve"> à un manque d</w:t>
      </w:r>
      <w:r>
        <w:rPr>
          <w:rFonts w:ascii="Times" w:eastAsia="Times" w:hAnsi="Times" w:cs="Times"/>
          <w:color w:val="000000" w:themeColor="text1"/>
          <w:sz w:val="24"/>
          <w:szCs w:val="24"/>
        </w:rPr>
        <w:t xml:space="preserve">’appréciation proportionnée </w:t>
      </w:r>
      <w:r w:rsidRPr="31A84FCC">
        <w:rPr>
          <w:rFonts w:ascii="Times" w:eastAsia="Times" w:hAnsi="Times" w:cs="Times"/>
          <w:color w:val="000000" w:themeColor="text1"/>
          <w:sz w:val="24"/>
          <w:szCs w:val="24"/>
        </w:rPr>
        <w:t>et subi</w:t>
      </w:r>
      <w:r>
        <w:rPr>
          <w:rFonts w:ascii="Times" w:eastAsia="Times" w:hAnsi="Times" w:cs="Times"/>
          <w:color w:val="000000" w:themeColor="text1"/>
          <w:sz w:val="24"/>
          <w:szCs w:val="24"/>
        </w:rPr>
        <w:t>r</w:t>
      </w:r>
      <w:r w:rsidRPr="31A84FCC">
        <w:rPr>
          <w:rFonts w:ascii="Times" w:eastAsia="Times" w:hAnsi="Times" w:cs="Times"/>
          <w:color w:val="000000" w:themeColor="text1"/>
          <w:sz w:val="24"/>
          <w:szCs w:val="24"/>
        </w:rPr>
        <w:t xml:space="preserve"> les conséquences de décisions perçues comme disproportionnées, conduisant parfois à un risque grave de gaspillage de ressources publiques</w:t>
      </w:r>
      <w:r>
        <w:rPr>
          <w:rFonts w:ascii="Times" w:eastAsia="Times" w:hAnsi="Times" w:cs="Times"/>
          <w:color w:val="000000" w:themeColor="text1"/>
          <w:sz w:val="24"/>
          <w:szCs w:val="24"/>
        </w:rPr>
        <w:t xml:space="preserve"> et remettant en cause l’implantation de professionnels de santé dans le contexte de pénurie que l’on connaît. </w:t>
      </w:r>
      <w:r w:rsidRPr="31A84FCC">
        <w:rPr>
          <w:rFonts w:ascii="Times New Roman" w:eastAsia="Times New Roman" w:hAnsi="Times New Roman" w:cs="Times New Roman"/>
          <w:color w:val="000000" w:themeColor="text1"/>
          <w:sz w:val="24"/>
          <w:szCs w:val="24"/>
        </w:rPr>
        <w:t>Elle souhaite savoir si les dispositions de la circulaire susmentionnée, relative aux difficultés entre les ABF et les collectivités territoriales, ouvrent une voie de recours permettant de réviser des avis défavorables qui bloquent des projets d’intérêt général.</w:t>
      </w:r>
    </w:p>
    <w:bookmarkEnd w:id="0"/>
    <w:p w14:paraId="724DCB6F" w14:textId="77777777" w:rsidR="00642731" w:rsidRDefault="00642731"/>
    <w:sectPr w:rsidR="006427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TKaiti">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F3"/>
    <w:rsid w:val="00642731"/>
    <w:rsid w:val="008D6567"/>
    <w:rsid w:val="00C913F3"/>
    <w:rsid w:val="00CD20A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9B895"/>
  <w15:chartTrackingRefBased/>
  <w15:docId w15:val="{74838160-D086-4EBF-9CEB-09E764C10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13F3"/>
    <w:rPr>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913F3"/>
    <w:pPr>
      <w:spacing w:after="0" w:line="240" w:lineRule="auto"/>
    </w:pPr>
    <w:rPr>
      <w:color w:val="595959" w:themeColor="text1" w:themeTint="A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Normal"/>
    <w:link w:val="TitreCar"/>
    <w:uiPriority w:val="10"/>
    <w:qFormat/>
    <w:rsid w:val="00C913F3"/>
    <w:pPr>
      <w:spacing w:before="120" w:after="120" w:line="240" w:lineRule="auto"/>
      <w:contextualSpacing/>
    </w:pPr>
    <w:rPr>
      <w:rFonts w:asciiTheme="majorHAnsi" w:eastAsiaTheme="majorEastAsia" w:hAnsiTheme="majorHAnsi" w:cstheme="majorBidi"/>
      <w:color w:val="FFFFFF" w:themeColor="background1"/>
      <w:kern w:val="28"/>
      <w:sz w:val="52"/>
      <w:szCs w:val="56"/>
    </w:rPr>
  </w:style>
  <w:style w:type="character" w:customStyle="1" w:styleId="TitreCar">
    <w:name w:val="Titre Car"/>
    <w:basedOn w:val="Policepardfaut"/>
    <w:link w:val="Titre"/>
    <w:uiPriority w:val="10"/>
    <w:rsid w:val="00C913F3"/>
    <w:rPr>
      <w:rFonts w:asciiTheme="majorHAnsi" w:eastAsiaTheme="majorEastAsia" w:hAnsiTheme="majorHAnsi" w:cstheme="majorBidi"/>
      <w:color w:val="FFFFFF" w:themeColor="background1"/>
      <w:kern w:val="28"/>
      <w:sz w:val="52"/>
      <w:szCs w:val="56"/>
    </w:rPr>
  </w:style>
  <w:style w:type="paragraph" w:styleId="Sous-titre">
    <w:name w:val="Subtitle"/>
    <w:basedOn w:val="Normal"/>
    <w:link w:val="Sous-titreCar"/>
    <w:uiPriority w:val="11"/>
    <w:qFormat/>
    <w:rsid w:val="00C913F3"/>
    <w:pPr>
      <w:numPr>
        <w:ilvl w:val="1"/>
      </w:numPr>
      <w:spacing w:before="120" w:after="120"/>
    </w:pPr>
    <w:rPr>
      <w:rFonts w:eastAsiaTheme="minorEastAsia"/>
      <w:color w:val="2F5496" w:themeColor="accent1" w:themeShade="BF"/>
      <w:sz w:val="24"/>
    </w:rPr>
  </w:style>
  <w:style w:type="character" w:customStyle="1" w:styleId="Sous-titreCar">
    <w:name w:val="Sous-titre Car"/>
    <w:basedOn w:val="Policepardfaut"/>
    <w:link w:val="Sous-titre"/>
    <w:uiPriority w:val="11"/>
    <w:rsid w:val="00C913F3"/>
    <w:rPr>
      <w:rFonts w:eastAsiaTheme="minorEastAsia"/>
      <w:color w:val="2F5496" w:themeColor="accent1" w:themeShade="BF"/>
      <w:sz w:val="24"/>
    </w:rPr>
  </w:style>
  <w:style w:type="paragraph" w:styleId="Sansinterligne">
    <w:name w:val="No Spacing"/>
    <w:uiPriority w:val="1"/>
    <w:qFormat/>
    <w:rsid w:val="00C913F3"/>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289</Words>
  <Characters>1594</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Assemblée nationale</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Noé Cabrol</dc:creator>
  <cp:keywords/>
  <dc:description/>
  <cp:lastModifiedBy>Noé Cabrol</cp:lastModifiedBy>
  <cp:revision>2</cp:revision>
  <dcterms:created xsi:type="dcterms:W3CDTF">2026-01-26T10:23:00Z</dcterms:created>
  <dcterms:modified xsi:type="dcterms:W3CDTF">2026-01-26T10:37:00Z</dcterms:modified>
</cp:coreProperties>
</file>